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774A7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D65" w:rsidRPr="00353D6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61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A352E8">
                    <w:rPr>
                      <w:b/>
                    </w:rPr>
                    <w:t>Учет,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774A73">
                    <w:t>27</w:t>
                  </w:r>
                  <w:r w:rsidRPr="00DF2DC5">
                    <w:t>.</w:t>
                  </w:r>
                  <w:r w:rsidR="00A8044A">
                    <w:t>03</w:t>
                  </w:r>
                  <w:r w:rsidRPr="00DF2DC5">
                    <w:t>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774A73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774A73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53D6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3D6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774A7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A8044A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>технологическая (проектно-технологическая) практика 2</w:t>
      </w:r>
      <w:r w:rsidR="004D7A4B" w:rsidRPr="00F37185">
        <w:rPr>
          <w:sz w:val="22"/>
          <w:szCs w:val="22"/>
        </w:rPr>
        <w:t>)</w:t>
      </w:r>
    </w:p>
    <w:p w:rsidR="003B7D93" w:rsidRPr="00F37185" w:rsidRDefault="00A352E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352E8">
        <w:rPr>
          <w:bCs/>
          <w:sz w:val="24"/>
          <w:szCs w:val="24"/>
        </w:rPr>
        <w:t>К.М.02.10(П)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352E8" w:rsidRPr="00A352E8">
        <w:rPr>
          <w:b/>
          <w:sz w:val="24"/>
          <w:szCs w:val="24"/>
        </w:rPr>
        <w:t>Учет,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Бухгалтер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74A73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74A7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74A7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74A73">
        <w:rPr>
          <w:sz w:val="24"/>
          <w:szCs w:val="24"/>
        </w:rPr>
        <w:t>3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74A73">
        <w:rPr>
          <w:spacing w:val="-3"/>
          <w:sz w:val="24"/>
          <w:szCs w:val="24"/>
          <w:lang w:eastAsia="en-US"/>
        </w:rPr>
        <w:t>24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A8044A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74A73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A8044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00ABF">
        <w:rPr>
          <w:sz w:val="28"/>
          <w:szCs w:val="28"/>
        </w:rPr>
        <w:t>О.В Сергиенко</w:t>
      </w:r>
      <w:r w:rsidR="00000ABF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(технологическая (проектно-технологическая) практика 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B5E2A" w:rsidRDefault="006B5E2A" w:rsidP="006B5E2A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2B55D0" w:rsidRPr="002B55D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74A73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774A73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74A73">
        <w:rPr>
          <w:rFonts w:eastAsia="Courier New"/>
          <w:bCs/>
          <w:color w:val="000000"/>
          <w:sz w:val="24"/>
          <w:szCs w:val="24"/>
        </w:rPr>
        <w:t>27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A8044A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774A73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74A73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>технологическая (проектно-технологическая) практика 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="00CC1694" w:rsidRPr="00CC1694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05102C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 xml:space="preserve">знать </w:t>
            </w:r>
            <w:r w:rsidR="00CC1694" w:rsidRPr="00CC1694">
              <w:rPr>
                <w:color w:val="000000"/>
                <w:sz w:val="22"/>
                <w:szCs w:val="22"/>
              </w:rPr>
              <w:t>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</w:t>
            </w:r>
            <w:r w:rsidR="00CC1694" w:rsidRPr="00CC1694">
              <w:rPr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</w:t>
            </w:r>
          </w:p>
        </w:tc>
      </w:tr>
      <w:tr w:rsidR="00E82934" w:rsidRPr="00CB70C5" w:rsidTr="00CC1694">
        <w:trPr>
          <w:trHeight w:val="6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CC169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CC1694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CC169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5102C" w:rsidRPr="0005102C">
              <w:rPr>
                <w:spacing w:val="-2"/>
                <w:sz w:val="22"/>
                <w:szCs w:val="22"/>
              </w:rPr>
              <w:t>Способен</w:t>
            </w:r>
            <w:proofErr w:type="gramEnd"/>
            <w:r w:rsidR="0005102C" w:rsidRPr="0005102C">
              <w:rPr>
                <w:spacing w:val="-2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 w:rsidR="0005102C"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CC169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05102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="00CC1694" w:rsidRPr="00CC1694">
              <w:rPr>
                <w:sz w:val="22"/>
                <w:szCs w:val="22"/>
              </w:rPr>
              <w:t>основные законы и закономерности функционирования экономики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05102C" w:rsidP="000510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05102C">
              <w:rPr>
                <w:sz w:val="22"/>
                <w:szCs w:val="22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="0005102C" w:rsidRPr="0005102C">
              <w:rPr>
                <w:sz w:val="22"/>
                <w:szCs w:val="22"/>
              </w:rPr>
              <w:t>применять экономические знания при выполнении практических задач</w:t>
            </w:r>
          </w:p>
        </w:tc>
      </w:tr>
      <w:tr w:rsidR="0005102C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2C" w:rsidRPr="00F02B49" w:rsidRDefault="0005102C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02C" w:rsidRPr="00942744" w:rsidRDefault="0005102C" w:rsidP="0005102C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2C" w:rsidRPr="00D478BC" w:rsidRDefault="0005102C" w:rsidP="00051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="0005102C" w:rsidRPr="0005102C">
              <w:rPr>
                <w:sz w:val="22"/>
                <w:szCs w:val="22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="0005102C"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11493E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05102C">
              <w:rPr>
                <w:color w:val="000000"/>
                <w:sz w:val="22"/>
                <w:szCs w:val="22"/>
              </w:rPr>
              <w:t xml:space="preserve">Способен проводить финансовый анализ, </w:t>
            </w:r>
            <w:proofErr w:type="spellStart"/>
            <w:r w:rsidRPr="0005102C">
              <w:rPr>
                <w:color w:val="000000"/>
                <w:sz w:val="22"/>
                <w:szCs w:val="22"/>
              </w:rPr>
              <w:t>бюджетирование</w:t>
            </w:r>
            <w:proofErr w:type="spellEnd"/>
            <w:r w:rsidRPr="0005102C">
              <w:rPr>
                <w:color w:val="000000"/>
                <w:sz w:val="22"/>
                <w:szCs w:val="22"/>
              </w:rPr>
              <w:t xml:space="preserve"> и управление денежными потоками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11493E" w:rsidRPr="00F02B49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>К 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B2E20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DB2E20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B2E20" w:rsidRDefault="0011493E" w:rsidP="00865C33">
            <w:pPr>
              <w:jc w:val="both"/>
              <w:rPr>
                <w:sz w:val="22"/>
                <w:szCs w:val="22"/>
              </w:rPr>
            </w:pPr>
            <w:r w:rsidRPr="00DB2E20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применять нормы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</w:t>
            </w:r>
            <w:r w:rsidRPr="00DB2E20">
              <w:rPr>
                <w:sz w:val="22"/>
                <w:szCs w:val="22"/>
              </w:rPr>
              <w:t xml:space="preserve">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норм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B51987" w:rsidRDefault="0011493E" w:rsidP="0011493E">
            <w:pPr>
              <w:rPr>
                <w:sz w:val="22"/>
                <w:szCs w:val="22"/>
                <w:lang w:eastAsia="en-US"/>
              </w:rPr>
            </w:pPr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11493E">
              <w:rPr>
                <w:sz w:val="22"/>
                <w:szCs w:val="22"/>
              </w:rPr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2E2B08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AE75B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proofErr w:type="gramStart"/>
            <w:r w:rsidRPr="00AE75B2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E75B2">
              <w:rPr>
                <w:color w:val="000000"/>
                <w:sz w:val="22"/>
                <w:szCs w:val="22"/>
              </w:rPr>
              <w:t xml:space="preserve"> составлять бухгалтерскую (финансовую) отчетность</w:t>
            </w:r>
            <w:r w:rsidRPr="00F02B49">
              <w:rPr>
                <w:color w:val="000000"/>
                <w:sz w:val="22"/>
                <w:szCs w:val="22"/>
              </w:rPr>
              <w:t>;</w:t>
            </w:r>
          </w:p>
          <w:p w:rsidR="002E2B08" w:rsidRPr="00F02B49" w:rsidRDefault="002E2B08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52230" w:rsidRDefault="002E2B08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198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К 2</w:t>
            </w:r>
            <w:r w:rsidRPr="00B5198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</w:t>
            </w:r>
            <w:r w:rsidRPr="00DC4CCC">
              <w:rPr>
                <w:sz w:val="22"/>
                <w:szCs w:val="22"/>
              </w:rPr>
              <w:t>законодательство Российской Федерации о бухгалтерском учете,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</w:t>
            </w:r>
            <w:r w:rsidRPr="00DC4CCC">
              <w:rPr>
                <w:sz w:val="22"/>
                <w:szCs w:val="22"/>
              </w:rPr>
              <w:t>судебную практику по вопросам бухгалтерского учета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 w:rsidRPr="00295B5D">
              <w:rPr>
                <w:sz w:val="22"/>
                <w:szCs w:val="22"/>
              </w:rPr>
              <w:t>экономику, организацию производства и управления в экономическом субъекте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</w:t>
            </w:r>
            <w:r w:rsidRPr="00295B5D">
              <w:rPr>
                <w:sz w:val="22"/>
                <w:szCs w:val="22"/>
              </w:rPr>
              <w:t xml:space="preserve"> методы финансового анализа и финансовых вычислений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95B5D">
              <w:rPr>
                <w:sz w:val="22"/>
                <w:szCs w:val="22"/>
              </w:rPr>
              <w:t>знать порядок обмена информацией по телекоммуникационным каналам связи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95B5D">
              <w:rPr>
                <w:sz w:val="22"/>
                <w:szCs w:val="22"/>
              </w:rPr>
              <w:t>знать современные технологии автоматизированной обработки информации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0795D">
              <w:rPr>
                <w:sz w:val="22"/>
                <w:szCs w:val="22"/>
              </w:rPr>
              <w:t>знать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DC4CCC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D0795D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DC4CCC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15228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уметь </w:t>
            </w:r>
            <w:r w:rsidRPr="00215228">
              <w:rPr>
                <w:sz w:val="22"/>
                <w:szCs w:val="22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уметь </w:t>
            </w:r>
            <w:r w:rsidRPr="00215228">
              <w:rPr>
                <w:sz w:val="22"/>
                <w:szCs w:val="22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 xml:space="preserve">уметь определять (разрабатывать) способы ведения бухгалтерского учета и формировать учетную </w:t>
            </w:r>
            <w:r w:rsidRPr="00215228">
              <w:rPr>
                <w:sz w:val="22"/>
                <w:szCs w:val="22"/>
              </w:rPr>
              <w:lastRenderedPageBreak/>
              <w:t>политику экономического субъекта,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уметь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организовывать делопроизводство в бухгалтерской службе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организовывать процесс восстановления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распределять объем учетных работ между работниками (группами работников) бухгалтерской службы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оценивать существенность информации, раскрываемой 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A95385">
              <w:rPr>
                <w:sz w:val="22"/>
                <w:szCs w:val="22"/>
              </w:rPr>
              <w:t>уметь применять судебную практику по вопросам бухгалтерского учета в профессиональной деятельности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организации, планирования, координации и контроля процесса формирования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счетной и логической проверки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формирования пояснений к бухгалтерскому балансу и отчету о финансовых результатах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ознакомления, согласования, подписания руководителем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2E2B08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методов финансового анализа информации, содержащейся в бухгалтерской (финансовой) отчетности, установления причинно-следственных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современных технологий автоматизированной обработки информации для целей бухгалтерского учета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 xml:space="preserve">владеть навыками применения судебной практики по вопросам бухгалтерского учета в профессиональной </w:t>
            </w:r>
            <w:r w:rsidRPr="009879C4"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454EF9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ПК-3</w:t>
            </w:r>
            <w:r w:rsidRPr="00F02B49">
              <w:rPr>
                <w:sz w:val="22"/>
                <w:szCs w:val="22"/>
              </w:rPr>
              <w:t xml:space="preserve"> </w:t>
            </w:r>
            <w:r w:rsidR="009B41F5" w:rsidRPr="009B41F5">
              <w:rPr>
                <w:color w:val="000000"/>
                <w:spacing w:val="-2"/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  <w:r w:rsidR="009B41F5"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9B41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 w:rsidR="009B41F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9B41F5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9B41F5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F5" w:rsidRPr="00F02B49" w:rsidRDefault="009B41F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9B41F5" w:rsidP="009B41F5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F5" w:rsidRPr="00CE0EFA" w:rsidRDefault="009B41F5" w:rsidP="009B41F5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B41F5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F5" w:rsidRPr="00F02B49" w:rsidRDefault="009B41F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9B41F5" w:rsidP="009B41F5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F5" w:rsidRPr="00CE0EFA" w:rsidRDefault="009B41F5" w:rsidP="009B41F5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662C52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9B41F5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F02B49">
              <w:rPr>
                <w:sz w:val="22"/>
                <w:szCs w:val="22"/>
              </w:rPr>
              <w:t xml:space="preserve"> </w:t>
            </w:r>
            <w:proofErr w:type="gramStart"/>
            <w:r w:rsidRPr="009B41F5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9B41F5">
              <w:rPr>
                <w:color w:val="000000"/>
                <w:sz w:val="22"/>
                <w:szCs w:val="22"/>
              </w:rPr>
              <w:t xml:space="preserve"> выполнять аудиторские процедуры и оказывать сопутствующие аудиту и прочие услуги, связанные с аудиторской деятельностью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662C52" w:rsidRPr="00F02B49" w:rsidRDefault="00662C5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CE0EFA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  <w:r w:rsidRPr="00CE0EFA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662C52" w:rsidRDefault="00662C52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Pr="00660DFC" w:rsidRDefault="00662C52" w:rsidP="000762CD">
            <w:pPr>
              <w:rPr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  <w:r w:rsidRPr="00CE0EFA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финансы, финансовый анализ, основы финансового менеджмента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управление рисками хозяйственной деятельности организации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662C52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4576B2">
              <w:rPr>
                <w:sz w:val="22"/>
                <w:szCs w:val="22"/>
                <w:lang w:eastAsia="en-US"/>
              </w:rPr>
              <w:t xml:space="preserve">ПК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4576B2">
              <w:rPr>
                <w:sz w:val="22"/>
                <w:szCs w:val="22"/>
                <w:lang w:eastAsia="en-US"/>
              </w:rPr>
              <w:t xml:space="preserve"> 4</w:t>
            </w:r>
            <w:r>
              <w:rPr>
                <w:sz w:val="22"/>
                <w:szCs w:val="22"/>
                <w:lang w:eastAsia="en-US"/>
              </w:rPr>
              <w:t>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662C52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4576B2">
              <w:rPr>
                <w:sz w:val="22"/>
                <w:szCs w:val="22"/>
                <w:lang w:eastAsia="en-US"/>
              </w:rPr>
              <w:t xml:space="preserve">ПК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4576B2">
              <w:rPr>
                <w:sz w:val="22"/>
                <w:szCs w:val="22"/>
                <w:lang w:eastAsia="en-US"/>
              </w:rPr>
              <w:t xml:space="preserve"> 4</w:t>
            </w:r>
            <w:r>
              <w:rPr>
                <w:sz w:val="22"/>
                <w:szCs w:val="22"/>
                <w:lang w:eastAsia="en-US"/>
              </w:rPr>
              <w:t>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К.М.02.10(П)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(технологическая (проектно-технологическая) практика 2)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  <w:lang w:eastAsia="en-US"/>
              </w:rPr>
              <w:t>К.М.02.10(П)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300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>технологическая (проектно-технологическая) практика 2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47396A">
            <w:pPr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УК-1; УК-10;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Pr="00CB70C5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300FE4" w:rsidRPr="00300FE4">
        <w:rPr>
          <w:sz w:val="22"/>
          <w:szCs w:val="22"/>
        </w:rPr>
        <w:t>2)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2)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6603A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6603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6603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6603A">
              <w:rPr>
                <w:color w:val="000000"/>
                <w:sz w:val="22"/>
                <w:szCs w:val="22"/>
              </w:rPr>
              <w:t xml:space="preserve">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D6603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D6603A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660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6603A" w:rsidRPr="00D6603A" w:rsidRDefault="00D6603A" w:rsidP="00D6603A">
            <w:pPr>
              <w:pStyle w:val="a5"/>
              <w:numPr>
                <w:ilvl w:val="0"/>
                <w:numId w:val="27"/>
              </w:numPr>
              <w:tabs>
                <w:tab w:val="left" w:pos="-69"/>
                <w:tab w:val="left" w:pos="357"/>
              </w:tabs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Представить общую характеристику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профильной организации: 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Pr="00D6603A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ИНН, 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Start"/>
            <w:r w:rsidRPr="00D6603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>сведения об истории организации, дата регистрации, миссия организации;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подготовки).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Описать состав</w:t>
            </w:r>
            <w:r w:rsidRPr="00D66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порядок составления бухгалтерской (финансовой) отчетности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профильной организации</w:t>
            </w:r>
            <w:r w:rsidRPr="00D6603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>определить степень соответствия форм бухгалтерской отчетности профильной организации рекомендуемым формам, регулирующим формирование и состав бухгалтерской отчётности;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>описать работу по подготовке и составлению бухгалтерской отчетности; инвентаризации статей баланса, закрытием счетов учета затрат и выявлением чистой прибыли (непокрытого убытка).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определить состав, классификацию, оценку статей актива и пассива бухгалтерского баланса, порядок формирования показателей баланса по данным регистров бухгалтерского учета; 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описать показатели Отчета о финансовых результатах, порядок их формирования в регистрах бухгалтерского учета. Определить взаимосвязь бухгалтерского баланса с отчетом о финансовых результатах; 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определить состав и порядок формирования пояснений к бухгалтерской (финансовой) отчетности на предприятии. Рассмотреть отчет об изменении капитала, отчет о движении денежных средств, основы его составления и порядок заполнения.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Провести финансовый анализ деятельности профильной организации: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проанализировать состав, структуру и динамику имущественного положения профильной организации и источников средств;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>дать оценку изменения финансового положения профильной организации по показателям ликвидности и платежеспособности, финансовой устойчивости, деловой активности;</w:t>
            </w:r>
          </w:p>
          <w:p w:rsidR="00B10030" w:rsidRPr="009F2202" w:rsidRDefault="00D6603A" w:rsidP="00D6603A">
            <w:pPr>
              <w:pStyle w:val="a5"/>
              <w:spacing w:after="0" w:line="240" w:lineRule="auto"/>
              <w:ind w:left="73" w:right="15"/>
              <w:jc w:val="both"/>
            </w:pPr>
            <w:r w:rsidRPr="00D6603A">
              <w:rPr>
                <w:rFonts w:ascii="Times New Roman" w:hAnsi="Times New Roman"/>
                <w:sz w:val="20"/>
                <w:szCs w:val="20"/>
              </w:rPr>
              <w:t>провести анализ показателей отчета об изменении капитала, отчета о движении денежных сре</w:t>
            </w:r>
            <w:proofErr w:type="gramStart"/>
            <w:r w:rsidRPr="00D6603A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D6603A">
              <w:rPr>
                <w:rFonts w:ascii="Times New Roman" w:hAnsi="Times New Roman"/>
                <w:sz w:val="20"/>
                <w:szCs w:val="20"/>
              </w:rPr>
              <w:t>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D6603A" w:rsidP="00D660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4.</w:t>
            </w:r>
            <w:r w:rsidRPr="00D660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Выполнение индивидуального задания, ориентированного</w:t>
            </w:r>
            <w:r w:rsidRPr="00D660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</w:t>
            </w:r>
            <w:r w:rsidRPr="00D6603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выполнение студентом задания, содержащие элементы изучения тем в соответствии со спецификой деятельности предприятия (производственное, торговое, общественное питание и т.д.).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00FE4" w:rsidRPr="00300FE4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53399D">
        <w:rPr>
          <w:color w:val="000000"/>
        </w:rPr>
        <w:lastRenderedPageBreak/>
        <w:t>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>технологическая (проектно-технологическая) практика 2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lastRenderedPageBreak/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10030" w:rsidRDefault="00B10030" w:rsidP="00B10030">
      <w:pPr>
        <w:jc w:val="both"/>
        <w:rPr>
          <w:sz w:val="24"/>
          <w:szCs w:val="24"/>
        </w:rPr>
      </w:pP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A31D5C" w:rsidRPr="00300FE4">
        <w:rPr>
          <w:sz w:val="22"/>
          <w:szCs w:val="22"/>
        </w:rPr>
        <w:t>2)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A31D5C" w:rsidRPr="00A31D5C">
        <w:rPr>
          <w:b/>
          <w:sz w:val="24"/>
          <w:szCs w:val="24"/>
          <w:lang w:eastAsia="en-US"/>
        </w:rPr>
        <w:t>производственная</w:t>
      </w:r>
      <w:r w:rsidR="00134D0E" w:rsidRPr="00A31D5C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D6603A" w:rsidRP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D6603A">
        <w:rPr>
          <w:iCs/>
          <w:color w:val="000000"/>
          <w:sz w:val="24"/>
          <w:szCs w:val="24"/>
          <w:shd w:val="clear" w:color="auto" w:fill="FFFFFF"/>
        </w:rPr>
        <w:t>Жилкина</w:t>
      </w:r>
      <w:proofErr w:type="spellEnd"/>
      <w:r w:rsidRPr="00D6603A">
        <w:rPr>
          <w:iCs/>
          <w:color w:val="000000"/>
          <w:sz w:val="24"/>
          <w:szCs w:val="24"/>
          <w:shd w:val="clear" w:color="auto" w:fill="FFFFFF"/>
        </w:rPr>
        <w:t>, А. Н.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> Финансовый анализ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Н. 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Жилкина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>, 2021. — 285 с. — (Высшее образование). — ISBN 978-5-534-02401-2. — Текст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https://urait.ru/bcode/468774</w:t>
        </w:r>
      </w:hyperlink>
    </w:p>
    <w:p w:rsid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6603A">
        <w:rPr>
          <w:iCs/>
          <w:color w:val="000000"/>
          <w:sz w:val="24"/>
          <w:szCs w:val="24"/>
          <w:shd w:val="clear" w:color="auto" w:fill="FFFFFF"/>
        </w:rPr>
        <w:lastRenderedPageBreak/>
        <w:t>Пащенко, Т. В.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практическое пособие для вузов / Т. В. Пащенко. — Москва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>, 2021. — 179 с. — (Высшее образование). — ISBN 978-5-534-14201-3. — Текст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https://urait.ru/bcode/468064    </w:t>
        </w:r>
      </w:hyperlink>
      <w:r w:rsidRPr="00D6603A">
        <w:rPr>
          <w:color w:val="000000"/>
          <w:sz w:val="24"/>
          <w:szCs w:val="24"/>
          <w:shd w:val="clear" w:color="auto" w:fill="FFFFFF"/>
        </w:rPr>
        <w:t> </w:t>
      </w:r>
    </w:p>
    <w:p w:rsidR="00D6603A" w:rsidRP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D6603A">
        <w:rPr>
          <w:iCs/>
          <w:color w:val="000000"/>
          <w:sz w:val="24"/>
          <w:szCs w:val="24"/>
          <w:shd w:val="clear" w:color="auto" w:fill="FFFFFF"/>
        </w:rPr>
        <w:t>Штефан</w:t>
      </w:r>
      <w:proofErr w:type="spellEnd"/>
      <w:r w:rsidRPr="00D6603A">
        <w:rPr>
          <w:iCs/>
          <w:color w:val="000000"/>
          <w:sz w:val="24"/>
          <w:szCs w:val="24"/>
          <w:shd w:val="clear" w:color="auto" w:fill="FFFFFF"/>
        </w:rPr>
        <w:t>, М. А.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 организации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учебник для вузов / М. А. 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Штефан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>, О. А. Замотаева, Н. В. Максимова ; под редакцией М. А. 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Штефан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>, 2021. — 346 с. — (Высшее образование). — ISBN 978-5-534-14915-9. — Текст</w:t>
      </w:r>
      <w:proofErr w:type="gramStart"/>
      <w:r w:rsidRPr="00D6603A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6603A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6603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6603A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https://urait.ru/bcode/485439</w:t>
        </w:r>
      </w:hyperlink>
    </w:p>
    <w:p w:rsidR="00D6603A" w:rsidRDefault="00D6603A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5A6D" w:rsidRPr="00695A6D" w:rsidRDefault="00695A6D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695A6D">
        <w:rPr>
          <w:iCs/>
          <w:color w:val="000000"/>
          <w:sz w:val="24"/>
          <w:szCs w:val="24"/>
          <w:shd w:val="clear" w:color="auto" w:fill="FFFFFF"/>
        </w:rPr>
        <w:t>Богатырева</w:t>
      </w:r>
      <w:proofErr w:type="spellEnd"/>
      <w:r w:rsidRPr="00695A6D">
        <w:rPr>
          <w:iCs/>
          <w:color w:val="000000"/>
          <w:sz w:val="24"/>
          <w:szCs w:val="24"/>
          <w:shd w:val="clear" w:color="auto" w:fill="FFFFFF"/>
        </w:rPr>
        <w:t>, С. Н.</w:t>
      </w:r>
      <w:r w:rsidRPr="00695A6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5A6D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учебник для вузов / С. Н. 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Богатырева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>, 2021. — 492 с. — (Высшее образование). — ISBN 978-5-534-14326-3. — Текст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https://urait.ru/bcode/487291    </w:t>
        </w:r>
      </w:hyperlink>
      <w:r w:rsidRPr="00695A6D">
        <w:rPr>
          <w:color w:val="000000"/>
          <w:sz w:val="24"/>
          <w:szCs w:val="24"/>
          <w:shd w:val="clear" w:color="auto" w:fill="FFFFFF"/>
        </w:rPr>
        <w:t> </w:t>
      </w:r>
    </w:p>
    <w:p w:rsidR="00695A6D" w:rsidRPr="00695A6D" w:rsidRDefault="00695A6D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695A6D">
        <w:rPr>
          <w:color w:val="000000"/>
          <w:sz w:val="24"/>
          <w:szCs w:val="24"/>
          <w:shd w:val="clear" w:color="auto" w:fill="FFFFFF"/>
        </w:rPr>
        <w:t>Бухгалтерский финансовый учет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учебник для вузов / Л. В. Бухарева [и др.] ; под редакцией И. М. Дмитриевой, В. Б. Малицкой, Ю. К. 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Харакоз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 xml:space="preserve">. — 5-е изд., 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>, 2021. — 528 с. — (Высшее образование). — ISBN 978-5-534-14339-3. — Текст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https://urait.ru/bcode/477342</w:t>
        </w:r>
      </w:hyperlink>
    </w:p>
    <w:p w:rsidR="00695A6D" w:rsidRPr="00695A6D" w:rsidRDefault="00695A6D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695A6D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695A6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5A6D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95A6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A6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EA6484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D6603A" w:rsidRPr="0047396A" w:rsidRDefault="00D6603A" w:rsidP="00695A6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03A2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</w:t>
      </w:r>
      <w:r w:rsidRPr="00CB70C5">
        <w:rPr>
          <w:sz w:val="24"/>
          <w:szCs w:val="24"/>
        </w:rPr>
        <w:lastRenderedPageBreak/>
        <w:t xml:space="preserve">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EA648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EA648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anchor="open-accesshttps://www.sciencedirect.com/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EA6484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lastRenderedPageBreak/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>технологическая (проектно-технологическая) практика 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4839AC" w:rsidP="00691813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 xml:space="preserve">Учет, анализ и аудит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695A6D" w:rsidRPr="00695A6D" w:rsidRDefault="00695A6D" w:rsidP="00695A6D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95A6D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Описать состав</w:t>
            </w:r>
            <w:r w:rsidRPr="00695A6D">
              <w:rPr>
                <w:rFonts w:ascii="Times New Roman" w:hAnsi="Times New Roman"/>
                <w:bCs/>
              </w:rPr>
              <w:t xml:space="preserve"> и порядок составления бухгалтерской (финансовой) отчетности </w:t>
            </w:r>
            <w:r w:rsidRPr="00695A6D">
              <w:rPr>
                <w:rFonts w:ascii="Times New Roman" w:hAnsi="Times New Roman"/>
              </w:rPr>
              <w:t>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Провести финансовый анализ деятельности 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695A6D" w:rsidP="00695A6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>Выполнить индивидуальное задание по теме …</w:t>
            </w:r>
            <w:r w:rsidRPr="00767A2F">
              <w:rPr>
                <w:sz w:val="24"/>
                <w:szCs w:val="24"/>
              </w:rPr>
              <w:t>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353D65" w:rsidP="00691813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>технологическая (проектно-технологическая) практика 2</w:t>
      </w: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4839AC">
        <w:rPr>
          <w:i/>
          <w:sz w:val="24"/>
          <w:szCs w:val="24"/>
        </w:rPr>
        <w:t>Экономика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4839A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353D65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839AC" w:rsidRDefault="00793B32" w:rsidP="00793B32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4839AC" w:rsidRPr="004839AC">
        <w:rPr>
          <w:sz w:val="24"/>
          <w:szCs w:val="24"/>
        </w:rPr>
        <w:t>Экономика</w:t>
      </w:r>
    </w:p>
    <w:p w:rsidR="004839AC" w:rsidRDefault="00793B32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="004839AC" w:rsidRPr="004839AC">
        <w:t>Учет, анализ и аудит</w:t>
      </w:r>
    </w:p>
    <w:p w:rsidR="00793B32" w:rsidRPr="004665FD" w:rsidRDefault="00793B32" w:rsidP="004839AC">
      <w:pPr>
        <w:pStyle w:val="Default"/>
        <w:jc w:val="both"/>
      </w:pPr>
      <w:r w:rsidRPr="004665FD">
        <w:t xml:space="preserve">Вид практики: </w:t>
      </w:r>
      <w:r w:rsidR="004839AC">
        <w:t xml:space="preserve">производственная </w:t>
      </w:r>
      <w:r w:rsidRPr="004665FD">
        <w:t>практика</w:t>
      </w:r>
    </w:p>
    <w:p w:rsidR="004839AC" w:rsidRPr="004839AC" w:rsidRDefault="00793B32" w:rsidP="004839AC">
      <w:pPr>
        <w:pStyle w:val="Default"/>
        <w:jc w:val="both"/>
      </w:pPr>
      <w:r w:rsidRPr="004665FD">
        <w:t xml:space="preserve">Тип практики: </w:t>
      </w:r>
      <w:r w:rsidR="004839AC" w:rsidRPr="004839AC">
        <w:t xml:space="preserve">технологическая (проектно-технологическая) практика 2 </w:t>
      </w:r>
    </w:p>
    <w:p w:rsidR="00695A6D" w:rsidRDefault="00695A6D" w:rsidP="00793B32">
      <w:pPr>
        <w:outlineLvl w:val="1"/>
        <w:rPr>
          <w:sz w:val="24"/>
          <w:szCs w:val="24"/>
        </w:rPr>
      </w:pPr>
    </w:p>
    <w:p w:rsidR="00793B32" w:rsidRDefault="00793B32" w:rsidP="00793B32">
      <w:pPr>
        <w:outlineLvl w:val="1"/>
        <w:rPr>
          <w:sz w:val="24"/>
          <w:szCs w:val="24"/>
        </w:rPr>
      </w:pPr>
      <w:r w:rsidRPr="00695A6D">
        <w:rPr>
          <w:sz w:val="24"/>
          <w:szCs w:val="24"/>
        </w:rPr>
        <w:t xml:space="preserve">Задание для практической подготовки при реализации </w:t>
      </w:r>
      <w:r w:rsidR="00695A6D" w:rsidRPr="00695A6D">
        <w:rPr>
          <w:sz w:val="24"/>
          <w:szCs w:val="24"/>
        </w:rPr>
        <w:t>производственной практики</w:t>
      </w:r>
      <w:r w:rsidRPr="00695A6D">
        <w:rPr>
          <w:sz w:val="24"/>
          <w:szCs w:val="24"/>
        </w:rPr>
        <w:t>: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Описать состав</w:t>
      </w:r>
      <w:r w:rsidRPr="00767A2F">
        <w:rPr>
          <w:rFonts w:ascii="Times New Roman" w:hAnsi="Times New Roman"/>
          <w:bCs/>
          <w:sz w:val="24"/>
          <w:szCs w:val="24"/>
        </w:rPr>
        <w:t xml:space="preserve"> и порядок составления бухгалтерской (финансовой) отчетности </w:t>
      </w:r>
      <w:r w:rsidRPr="00767A2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Провести финансовый анализ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rFonts w:ascii="Times New Roman" w:hAnsi="Times New Roman"/>
          <w:noProof/>
          <w:color w:val="auto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793B32" w:rsidRPr="00695A6D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839AC" w:rsidRPr="004839AC" w:rsidRDefault="004839AC" w:rsidP="004839AC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4839AC">
        <w:rPr>
          <w:sz w:val="24"/>
          <w:szCs w:val="24"/>
        </w:rPr>
        <w:t>Экономика</w:t>
      </w:r>
    </w:p>
    <w:p w:rsidR="004839AC" w:rsidRDefault="004839AC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Pr="004839AC">
        <w:t>Учет, анализ и аудит</w:t>
      </w:r>
    </w:p>
    <w:p w:rsidR="004839AC" w:rsidRPr="004665FD" w:rsidRDefault="004839AC" w:rsidP="004839AC">
      <w:pPr>
        <w:pStyle w:val="Default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4839AC" w:rsidRPr="004839AC" w:rsidRDefault="004839AC" w:rsidP="004839AC">
      <w:pPr>
        <w:pStyle w:val="Default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2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профильной организации 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1FBC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и поряд</w:t>
            </w:r>
            <w:r>
              <w:rPr>
                <w:bCs/>
                <w:sz w:val="24"/>
                <w:szCs w:val="24"/>
              </w:rPr>
              <w:t>ка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составления бухгалтерской (финансовой) отчетности </w:t>
            </w:r>
            <w:r w:rsidRPr="00AB1FBC">
              <w:rPr>
                <w:sz w:val="24"/>
                <w:szCs w:val="24"/>
              </w:rPr>
              <w:t>профильной организации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AB1FBC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ого</w:t>
            </w:r>
            <w:r w:rsidRPr="00AB1FBC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AB1FBC">
              <w:rPr>
                <w:sz w:val="24"/>
                <w:szCs w:val="24"/>
              </w:rPr>
              <w:t xml:space="preserve"> деятельности профильной организации: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BE" w:rsidRDefault="00B027BE" w:rsidP="00160BC1">
      <w:r>
        <w:separator/>
      </w:r>
    </w:p>
  </w:endnote>
  <w:endnote w:type="continuationSeparator" w:id="0">
    <w:p w:rsidR="00B027BE" w:rsidRDefault="00B027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BE" w:rsidRDefault="00B027BE" w:rsidP="00160BC1">
      <w:r>
        <w:separator/>
      </w:r>
    </w:p>
  </w:footnote>
  <w:footnote w:type="continuationSeparator" w:id="0">
    <w:p w:rsidR="00B027BE" w:rsidRDefault="00B027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076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22D46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5D7F4B"/>
    <w:multiLevelType w:val="hybridMultilevel"/>
    <w:tmpl w:val="6ED4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8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2"/>
  </w:num>
  <w:num w:numId="5">
    <w:abstractNumId w:val="28"/>
  </w:num>
  <w:num w:numId="6">
    <w:abstractNumId w:val="2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26"/>
  </w:num>
  <w:num w:numId="20">
    <w:abstractNumId w:val="29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13"/>
  </w:num>
  <w:num w:numId="26">
    <w:abstractNumId w:val="3"/>
  </w:num>
  <w:num w:numId="27">
    <w:abstractNumId w:val="27"/>
  </w:num>
  <w:num w:numId="28">
    <w:abstractNumId w:val="23"/>
  </w:num>
  <w:num w:numId="29">
    <w:abstractNumId w:val="4"/>
  </w:num>
  <w:num w:numId="30">
    <w:abstractNumId w:val="1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0ABF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6B3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3D65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87867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25B4A"/>
    <w:rsid w:val="0063601F"/>
    <w:rsid w:val="00641DAE"/>
    <w:rsid w:val="00642A2F"/>
    <w:rsid w:val="006436C2"/>
    <w:rsid w:val="006439F4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548"/>
    <w:rsid w:val="00695A6D"/>
    <w:rsid w:val="006977BF"/>
    <w:rsid w:val="006A2B05"/>
    <w:rsid w:val="006B0CA3"/>
    <w:rsid w:val="006B21EF"/>
    <w:rsid w:val="006B5E2A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4A73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044A"/>
    <w:rsid w:val="00A870F8"/>
    <w:rsid w:val="00A87394"/>
    <w:rsid w:val="00A94236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3A21"/>
    <w:rsid w:val="00D05118"/>
    <w:rsid w:val="00D075EA"/>
    <w:rsid w:val="00D0795D"/>
    <w:rsid w:val="00D152E4"/>
    <w:rsid w:val="00D174AC"/>
    <w:rsid w:val="00D1753D"/>
    <w:rsid w:val="00D22A25"/>
    <w:rsid w:val="00D23EFA"/>
    <w:rsid w:val="00D26D69"/>
    <w:rsid w:val="00D27E5C"/>
    <w:rsid w:val="00D3134F"/>
    <w:rsid w:val="00D33C2D"/>
    <w:rsid w:val="00D34B66"/>
    <w:rsid w:val="00D37299"/>
    <w:rsid w:val="00D430A4"/>
    <w:rsid w:val="00D44D90"/>
    <w:rsid w:val="00D46C20"/>
    <w:rsid w:val="00D478BC"/>
    <w:rsid w:val="00D50504"/>
    <w:rsid w:val="00D50735"/>
    <w:rsid w:val="00D51736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E20"/>
    <w:rsid w:val="00DC30F5"/>
    <w:rsid w:val="00DC4CCC"/>
    <w:rsid w:val="00DC6660"/>
    <w:rsid w:val="00DD03B9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74EB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6484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E074E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174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734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7291&#160;&#160;&#160;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hyperlink" Target="http://www.governme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5439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8064&#160;&#160;&#160;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8774" TargetMode="External"/><Relationship Id="rId14" Type="http://schemas.openxmlformats.org/officeDocument/2006/relationships/hyperlink" Target="https://urait.ru/bcode/468686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A8AA-610D-4A2A-93E8-7557301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10143</Words>
  <Characters>57819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67827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852053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https://urait.ru/bcode/477342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https://urait.ru/bcode/487291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https://urait.ru/bcode/485439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https://urait.ru/bcode/468774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2023-04-17T07:39:00Z</dcterms:created>
  <dcterms:modified xsi:type="dcterms:W3CDTF">2023-04-19T03:22:00Z</dcterms:modified>
</cp:coreProperties>
</file>